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«Нефтегазизыскания-Альянс»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>Российская Федерация, 107045, Москва, Ананьевский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023370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05.07.2023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CB386F">
              <w:rPr>
                <w:b/>
                <w:sz w:val="16"/>
                <w:szCs w:val="16"/>
              </w:rPr>
              <w:t>306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«Нефтегазизыскания-Альянс»</w:t>
      </w:r>
      <w:r w:rsidR="00CB386F">
        <w:rPr>
          <w:sz w:val="20"/>
          <w:szCs w:val="20"/>
        </w:rPr>
        <w:t>,</w:t>
      </w:r>
    </w:p>
    <w:p w:rsidR="00CB386F" w:rsidRDefault="00CB386F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CB386F" w:rsidRDefault="00CB386F" w:rsidP="00CB386F">
      <w:pPr>
        <w:spacing w:line="276" w:lineRule="auto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во исполнение требования Ростехнадзора от 13.06.2023 № 200-14200, составленного по результатам систематического наблюдения в соответствии с </w:t>
      </w:r>
      <w:r w:rsidRPr="00CB386F">
        <w:rPr>
          <w:sz w:val="20"/>
          <w:szCs w:val="20"/>
        </w:rPr>
        <w:t>Программой профилактики нарушений обязательных требований</w:t>
      </w:r>
      <w:r>
        <w:rPr>
          <w:sz w:val="20"/>
          <w:szCs w:val="20"/>
        </w:rPr>
        <w:t xml:space="preserve"> </w:t>
      </w:r>
      <w:r w:rsidRPr="00CB386F">
        <w:rPr>
          <w:sz w:val="20"/>
          <w:szCs w:val="20"/>
        </w:rPr>
        <w:t>в рамках осуществления федерального государственного надзора</w:t>
      </w:r>
      <w:r>
        <w:rPr>
          <w:sz w:val="20"/>
          <w:szCs w:val="20"/>
        </w:rPr>
        <w:t xml:space="preserve"> </w:t>
      </w:r>
      <w:r w:rsidRPr="00CB386F">
        <w:rPr>
          <w:sz w:val="20"/>
          <w:szCs w:val="20"/>
        </w:rPr>
        <w:t>за деятельностью саморегулируемых организаций в области</w:t>
      </w:r>
      <w:bookmarkStart w:id="2" w:name="_GoBack"/>
      <w:bookmarkEnd w:id="2"/>
      <w:r w:rsidRPr="00CB386F">
        <w:rPr>
          <w:sz w:val="20"/>
          <w:szCs w:val="20"/>
        </w:rPr>
        <w:t xml:space="preserve"> инженерных</w:t>
      </w:r>
      <w:r>
        <w:rPr>
          <w:sz w:val="20"/>
          <w:szCs w:val="20"/>
        </w:rPr>
        <w:t xml:space="preserve"> </w:t>
      </w:r>
      <w:r w:rsidRPr="00CB386F">
        <w:rPr>
          <w:sz w:val="20"/>
          <w:szCs w:val="20"/>
        </w:rPr>
        <w:t>изысканий, архитектурно-строительного проектирования, строительства,</w:t>
      </w:r>
      <w:r>
        <w:rPr>
          <w:sz w:val="20"/>
          <w:szCs w:val="20"/>
        </w:rPr>
        <w:t xml:space="preserve"> </w:t>
      </w:r>
      <w:r w:rsidRPr="00CB386F">
        <w:rPr>
          <w:sz w:val="20"/>
          <w:szCs w:val="20"/>
        </w:rPr>
        <w:t>реконструкции, капитального ремонта, сноса объектов капитального</w:t>
      </w:r>
      <w:r>
        <w:rPr>
          <w:sz w:val="20"/>
          <w:szCs w:val="20"/>
        </w:rPr>
        <w:t xml:space="preserve"> </w:t>
      </w:r>
      <w:r w:rsidRPr="00CB386F">
        <w:rPr>
          <w:sz w:val="20"/>
          <w:szCs w:val="20"/>
        </w:rPr>
        <w:t>строительства на 2023 год, утвержденной приказом МТУ Ростехнадзора</w:t>
      </w:r>
      <w:r>
        <w:rPr>
          <w:sz w:val="20"/>
          <w:szCs w:val="20"/>
        </w:rPr>
        <w:t xml:space="preserve"> </w:t>
      </w:r>
      <w:r w:rsidRPr="00CB386F">
        <w:rPr>
          <w:sz w:val="20"/>
          <w:szCs w:val="20"/>
        </w:rPr>
        <w:t>от 30.12.2022 № ПР-200-126-о</w:t>
      </w:r>
      <w:r>
        <w:rPr>
          <w:sz w:val="20"/>
          <w:szCs w:val="20"/>
        </w:rPr>
        <w:t>,</w:t>
      </w:r>
      <w:proofErr w:type="gramEnd"/>
    </w:p>
    <w:p w:rsidR="00CB386F" w:rsidRPr="00D01C2B" w:rsidRDefault="00CB386F" w:rsidP="00CB386F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целях устранения выявленного по результатам систематического наблюдения некорректного отражения в реестре членов Ассоциации сведений об основаниях прекращения членства (а именно указания в качестве такого основания сведений о реквизитах распорядительного акта Ассоциации вместо структурного элемента правовой нормы, содержащейся в нормативном правовом акте или внутреннем документе Ассоциации),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A4158D" w:rsidRDefault="001332F3" w:rsidP="00CB386F">
      <w:pPr>
        <w:spacing w:line="276" w:lineRule="auto"/>
        <w:ind w:firstLine="284"/>
        <w:jc w:val="both"/>
        <w:rPr>
          <w:sz w:val="20"/>
          <w:szCs w:val="20"/>
        </w:rPr>
      </w:pPr>
      <w:proofErr w:type="gramStart"/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</w:t>
      </w:r>
      <w:r w:rsidRPr="00D01C2B">
        <w:rPr>
          <w:sz w:val="20"/>
          <w:szCs w:val="20"/>
        </w:rPr>
        <w:t xml:space="preserve">в реестр членов Ассоциации СРО «Нефтегазизыскания-Альянс» </w:t>
      </w:r>
      <w:r w:rsidR="00CB386F">
        <w:rPr>
          <w:sz w:val="20"/>
          <w:szCs w:val="20"/>
        </w:rPr>
        <w:t>изменения в части оснований прекращения членства членов Ассоциации, указав вместо распорядительного акта органа управления Ассоциации отсылку на структурный элемент нормативного правового акта или внутреннего документа Ассоциации, содержащий норму-основание для прекращения членства, в отношении всех лиц, членство которых в Ассоциации прекращено, в соответствии с приложением 1 к настоящему приказу.</w:t>
      </w:r>
      <w:proofErr w:type="gramEnd"/>
    </w:p>
    <w:p w:rsidR="00CB386F" w:rsidRDefault="00CB386F" w:rsidP="00CB386F">
      <w:pPr>
        <w:spacing w:line="276" w:lineRule="auto"/>
        <w:ind w:firstLine="284"/>
        <w:jc w:val="both"/>
        <w:rPr>
          <w:sz w:val="20"/>
          <w:szCs w:val="20"/>
        </w:rPr>
      </w:pPr>
    </w:p>
    <w:p w:rsidR="00CB386F" w:rsidRDefault="00CB386F" w:rsidP="00CB386F">
      <w:pPr>
        <w:spacing w:line="276" w:lineRule="auto"/>
        <w:ind w:firstLine="284"/>
        <w:jc w:val="both"/>
        <w:rPr>
          <w:sz w:val="20"/>
          <w:szCs w:val="20"/>
        </w:rPr>
      </w:pPr>
    </w:p>
    <w:p w:rsidR="005D0D87" w:rsidRDefault="005D0D8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23370" w:rsidRDefault="00023370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bookmarkStart w:id="3" w:name="prikaz5"/>
            <w:bookmarkStart w:id="4" w:name="prikaz9"/>
            <w:bookmarkStart w:id="5" w:name="mark9"/>
            <w:bookmarkEnd w:id="3"/>
            <w:bookmarkEnd w:id="4"/>
            <w:bookmarkEnd w:id="5"/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83C6B"/>
    <w:multiLevelType w:val="hybridMultilevel"/>
    <w:tmpl w:val="13C81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C1D27"/>
    <w:multiLevelType w:val="hybridMultilevel"/>
    <w:tmpl w:val="2EBA1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FF5D95"/>
    <w:multiLevelType w:val="hybridMultilevel"/>
    <w:tmpl w:val="EA0A2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8D92C32"/>
    <w:multiLevelType w:val="hybridMultilevel"/>
    <w:tmpl w:val="6E10B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18"/>
  </w:num>
  <w:num w:numId="8">
    <w:abstractNumId w:val="3"/>
  </w:num>
  <w:num w:numId="9">
    <w:abstractNumId w:val="11"/>
  </w:num>
  <w:num w:numId="10">
    <w:abstractNumId w:val="9"/>
  </w:num>
  <w:num w:numId="11">
    <w:abstractNumId w:val="23"/>
  </w:num>
  <w:num w:numId="12">
    <w:abstractNumId w:val="10"/>
  </w:num>
  <w:num w:numId="13">
    <w:abstractNumId w:val="7"/>
  </w:num>
  <w:num w:numId="14">
    <w:abstractNumId w:val="15"/>
  </w:num>
  <w:num w:numId="15">
    <w:abstractNumId w:val="22"/>
  </w:num>
  <w:num w:numId="16">
    <w:abstractNumId w:val="0"/>
  </w:num>
  <w:num w:numId="17">
    <w:abstractNumId w:val="16"/>
  </w:num>
  <w:num w:numId="18">
    <w:abstractNumId w:val="17"/>
  </w:num>
  <w:num w:numId="19">
    <w:abstractNumId w:val="12"/>
  </w:num>
  <w:num w:numId="20">
    <w:abstractNumId w:val="6"/>
  </w:num>
  <w:num w:numId="21">
    <w:abstractNumId w:val="19"/>
  </w:num>
  <w:num w:numId="22">
    <w:abstractNumId w:val="1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3370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0D87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37CDC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86F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1970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Андрей Ходус</cp:lastModifiedBy>
  <cp:revision>2</cp:revision>
  <cp:lastPrinted>2023-07-05T13:24:00Z</cp:lastPrinted>
  <dcterms:created xsi:type="dcterms:W3CDTF">2023-07-06T08:56:00Z</dcterms:created>
  <dcterms:modified xsi:type="dcterms:W3CDTF">2023-07-06T08:56:00Z</dcterms:modified>
</cp:coreProperties>
</file>