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D65312">
        <w:rPr>
          <w:rFonts w:ascii="Times New Roman" w:hAnsi="Times New Roman"/>
          <w:caps/>
          <w:color w:val="000000"/>
          <w:sz w:val="18"/>
          <w:szCs w:val="20"/>
        </w:rPr>
        <w:t>384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6147E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29</w:t>
            </w:r>
            <w:r w:rsidR="00D65312">
              <w:rPr>
                <w:sz w:val="18"/>
                <w:szCs w:val="20"/>
              </w:rPr>
              <w:t>.08.2022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6147E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29</w:t>
            </w:r>
            <w:r w:rsidR="00D65312">
              <w:rPr>
                <w:sz w:val="18"/>
                <w:szCs w:val="20"/>
              </w:rPr>
              <w:t>.08.2022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 w:rsidRPr="0084011B">
        <w:rPr>
          <w:bCs/>
          <w:color w:val="000000"/>
          <w:sz w:val="18"/>
          <w:szCs w:val="20"/>
        </w:rPr>
        <w:t>Кастерин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Ильясов Радик Рифович;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Гуреев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 w:rsidRPr="006F67E0">
        <w:rPr>
          <w:bCs/>
          <w:color w:val="000000"/>
          <w:sz w:val="18"/>
          <w:szCs w:val="20"/>
        </w:rPr>
        <w:t>Чупина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Кастерин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>Анатолий Алексеевич Кастерин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D65312" w:rsidP="00D65312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«НИКА», Адрес: 344022, РФ, Ростовская область г. Ростов-на-Дону ул. Очаковская, д. 39 ком. 14, ИНН (6193000326) - при условии уплаты взноса в компенсационный фонд возмещения вреда (1 уровень ответственности по обязательствам);</w:t>
      </w:r>
    </w:p>
    <w:p w:rsidR="00D65312" w:rsidRPr="00D65312" w:rsidRDefault="00D65312" w:rsidP="00D65312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7ED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5312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2E28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7CAE-F2D1-4ED5-A43A-6530F3D0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4</cp:revision>
  <cp:lastPrinted>2022-08-30T11:56:00Z</cp:lastPrinted>
  <dcterms:created xsi:type="dcterms:W3CDTF">2022-08-30T11:55:00Z</dcterms:created>
  <dcterms:modified xsi:type="dcterms:W3CDTF">2022-08-30T11:57:00Z</dcterms:modified>
</cp:coreProperties>
</file>